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ascii="宋体" w:hAnsi="宋体" w:eastAsia="宋体" w:cs="宋体"/>
          <w:b/>
          <w:color w:val="000000"/>
          <w:kern w:val="0"/>
          <w:sz w:val="44"/>
          <w:szCs w:val="44"/>
        </w:rPr>
      </w:pPr>
      <w:r>
        <w:rPr>
          <w:rFonts w:hint="eastAsia" w:ascii="宋体" w:hAnsi="宋体" w:eastAsia="宋体" w:cs="宋体"/>
          <w:b/>
          <w:color w:val="000000"/>
          <w:kern w:val="0"/>
          <w:sz w:val="44"/>
          <w:szCs w:val="44"/>
        </w:rPr>
        <w:t>关于202</w:t>
      </w:r>
      <w:r>
        <w:rPr>
          <w:rFonts w:hint="eastAsia" w:ascii="宋体" w:hAnsi="宋体" w:cs="宋体"/>
          <w:b/>
          <w:color w:val="000000"/>
          <w:kern w:val="0"/>
          <w:sz w:val="44"/>
          <w:szCs w:val="44"/>
          <w:lang w:val="en-US" w:eastAsia="zh-CN"/>
        </w:rPr>
        <w:t>2</w:t>
      </w:r>
      <w:r>
        <w:rPr>
          <w:rFonts w:hint="eastAsia" w:ascii="宋体" w:hAnsi="宋体" w:eastAsia="宋体" w:cs="宋体"/>
          <w:b/>
          <w:color w:val="000000"/>
          <w:kern w:val="0"/>
          <w:sz w:val="44"/>
          <w:szCs w:val="44"/>
        </w:rPr>
        <w:t>年度市本级预算执行</w:t>
      </w:r>
    </w:p>
    <w:p>
      <w:pPr>
        <w:widowControl/>
        <w:spacing w:line="580" w:lineRule="exact"/>
        <w:jc w:val="center"/>
        <w:rPr>
          <w:rFonts w:ascii="宋体" w:hAnsi="宋体" w:eastAsia="宋体" w:cs="宋体"/>
          <w:b/>
          <w:color w:val="000000"/>
          <w:kern w:val="0"/>
          <w:sz w:val="44"/>
          <w:szCs w:val="44"/>
        </w:rPr>
      </w:pPr>
      <w:r>
        <w:rPr>
          <w:rFonts w:hint="eastAsia" w:ascii="宋体" w:hAnsi="宋体" w:eastAsia="宋体" w:cs="宋体"/>
          <w:b/>
          <w:color w:val="000000"/>
          <w:kern w:val="0"/>
          <w:sz w:val="44"/>
          <w:szCs w:val="44"/>
        </w:rPr>
        <w:t>和其他财政收支审计查出问题</w:t>
      </w:r>
    </w:p>
    <w:p>
      <w:pPr>
        <w:widowControl/>
        <w:spacing w:line="580" w:lineRule="exact"/>
        <w:jc w:val="center"/>
      </w:pPr>
      <w:r>
        <w:rPr>
          <w:rFonts w:hint="eastAsia" w:ascii="宋体" w:hAnsi="宋体" w:eastAsia="宋体" w:cs="宋体"/>
          <w:b/>
          <w:color w:val="000000"/>
          <w:kern w:val="0"/>
          <w:sz w:val="44"/>
          <w:szCs w:val="44"/>
        </w:rPr>
        <w:t>整改情况报告的解读</w:t>
      </w:r>
    </w:p>
    <w:p>
      <w:pPr>
        <w:keepNext w:val="0"/>
        <w:keepLines w:val="0"/>
        <w:pageBreakBefore w:val="0"/>
        <w:kinsoku/>
        <w:wordWrap/>
        <w:overflowPunct/>
        <w:topLinePunct w:val="0"/>
        <w:autoSpaceDE/>
        <w:autoSpaceDN/>
        <w:bidi w:val="0"/>
        <w:spacing w:line="560" w:lineRule="exact"/>
        <w:textAlignment w:val="auto"/>
        <w:rPr>
          <w:rFonts w:ascii="宋体" w:hAnsi="宋体" w:cs="宋体"/>
          <w:b/>
          <w:bCs/>
          <w:sz w:val="13"/>
          <w:szCs w:val="13"/>
        </w:rPr>
      </w:pPr>
    </w:p>
    <w:p>
      <w:pPr>
        <w:keepNext w:val="0"/>
        <w:keepLines w:val="0"/>
        <w:pageBreakBefore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 w:eastAsia="仿宋_GB2312" w:cs="Tahoma"/>
          <w:bCs/>
          <w:color w:val="000000"/>
          <w:kern w:val="0"/>
          <w:sz w:val="32"/>
          <w:szCs w:val="32"/>
        </w:rPr>
        <w:t>根据《审计法》相关规定，</w:t>
      </w:r>
      <w:r>
        <w:rPr>
          <w:rFonts w:hint="eastAsia" w:ascii="仿宋_GB2312" w:hAnsi="仿宋_GB2312" w:eastAsia="仿宋_GB2312" w:cs="仿宋_GB2312"/>
          <w:sz w:val="32"/>
          <w:szCs w:val="32"/>
          <w:lang w:val="en-US" w:eastAsia="zh-CN"/>
        </w:rPr>
        <w:t>市政府需向市人大常委会报告审计查出问题整改情况。</w:t>
      </w:r>
      <w:r>
        <w:rPr>
          <w:rFonts w:hint="eastAsia" w:ascii="仿宋_GB2312" w:hAnsi="仿宋" w:eastAsia="仿宋_GB2312" w:cs="宋体"/>
          <w:color w:val="000000"/>
          <w:kern w:val="0"/>
          <w:sz w:val="32"/>
          <w:szCs w:val="32"/>
        </w:rPr>
        <w:t>市政府深入贯彻习近平总书记关于审计整改工作的重要指示批示精神，全面落实建立健全审计查出问题整改长效机制要求</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全力推进整改工作。</w:t>
      </w:r>
      <w:r>
        <w:rPr>
          <w:rFonts w:hint="eastAsia" w:ascii="仿宋_GB2312" w:hAnsi="仿宋_GB2312" w:eastAsia="仿宋_GB2312" w:cs="仿宋_GB2312"/>
          <w:sz w:val="32"/>
          <w:szCs w:val="32"/>
          <w:lang w:val="en-US" w:eastAsia="zh-CN"/>
        </w:rPr>
        <w:t>市审计局统筹协调、调度事涉单位，</w:t>
      </w:r>
      <w:r>
        <w:rPr>
          <w:rFonts w:hint="eastAsia" w:ascii="仿宋_GB2312" w:hAnsi="仿宋_GB2312" w:eastAsia="仿宋_GB2312" w:cs="仿宋_GB2312"/>
          <w:sz w:val="32"/>
          <w:szCs w:val="32"/>
        </w:rPr>
        <w:t>对照问题清单</w:t>
      </w:r>
      <w:r>
        <w:rPr>
          <w:rFonts w:hint="eastAsia" w:ascii="仿宋_GB2312" w:hAnsi="仿宋" w:eastAsia="仿宋_GB2312" w:cs="宋体"/>
          <w:color w:val="000000"/>
          <w:kern w:val="0"/>
          <w:sz w:val="32"/>
          <w:szCs w:val="32"/>
        </w:rPr>
        <w:t>逐个跟踪督促整改落实，推动严格按时</w:t>
      </w:r>
      <w:r>
        <w:rPr>
          <w:rFonts w:hint="eastAsia" w:ascii="仿宋_GB2312" w:hAnsi="仿宋" w:eastAsia="仿宋_GB2312" w:cs="宋体"/>
          <w:color w:val="000000"/>
          <w:kern w:val="0"/>
          <w:sz w:val="32"/>
          <w:szCs w:val="32"/>
          <w:lang w:val="en-US" w:eastAsia="zh-CN"/>
        </w:rPr>
        <w:t>限要求</w:t>
      </w:r>
      <w:r>
        <w:rPr>
          <w:rFonts w:hint="eastAsia" w:ascii="仿宋_GB2312" w:hAnsi="仿宋" w:eastAsia="仿宋_GB2312" w:cs="宋体"/>
          <w:color w:val="000000"/>
          <w:kern w:val="0"/>
          <w:sz w:val="32"/>
          <w:szCs w:val="32"/>
        </w:rPr>
        <w:t>完成整改任务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成立起草组，全面梳理整改情况，认真研究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分类归纳形成报告初稿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经局党组讨论修改后提交</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政府常务会议审定。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一、</w:t>
      </w:r>
      <w:r>
        <w:rPr>
          <w:rFonts w:hint="eastAsia" w:ascii="黑体" w:hAnsi="黑体" w:eastAsia="黑体" w:cs="黑体"/>
          <w:color w:val="000000"/>
          <w:kern w:val="0"/>
          <w:sz w:val="32"/>
          <w:szCs w:val="32"/>
        </w:rPr>
        <w:t>审计整改工作部署推进情况</w:t>
      </w:r>
    </w:p>
    <w:p>
      <w:pPr>
        <w:keepNext w:val="0"/>
        <w:keepLines w:val="0"/>
        <w:pageBreakBefore w:val="0"/>
        <w:widowControl w:val="0"/>
        <w:suppressAutoHyphens w:val="0"/>
        <w:kinsoku/>
        <w:wordWrap/>
        <w:overflowPunct/>
        <w:topLinePunct w:val="0"/>
        <w:autoSpaceDE/>
        <w:autoSpaceDN/>
        <w:bidi w:val="0"/>
        <w:adjustRightInd w:val="0"/>
        <w:snapToGrid w:val="0"/>
        <w:spacing w:line="560" w:lineRule="exact"/>
        <w:ind w:firstLine="640" w:firstLineChars="200"/>
        <w:textAlignment w:val="auto"/>
        <w:rPr>
          <w:rFonts w:eastAsia="仿宋_GB2312"/>
        </w:rPr>
      </w:pPr>
      <w:r>
        <w:rPr>
          <w:rFonts w:hint="eastAsia" w:ascii="仿宋_GB2312" w:hAnsi="仿宋" w:eastAsia="仿宋_GB2312" w:cs="宋体"/>
          <w:color w:val="000000"/>
          <w:kern w:val="0"/>
          <w:sz w:val="32"/>
          <w:szCs w:val="32"/>
        </w:rPr>
        <w:t>市政府高度重视审计</w:t>
      </w:r>
      <w:r>
        <w:rPr>
          <w:rFonts w:hint="eastAsia" w:ascii="仿宋_GB2312" w:hAnsi="仿宋" w:eastAsia="仿宋_GB2312" w:cs="宋体"/>
          <w:color w:val="000000"/>
          <w:kern w:val="0"/>
          <w:sz w:val="32"/>
          <w:szCs w:val="32"/>
          <w:lang w:val="en-US" w:eastAsia="zh-CN"/>
        </w:rPr>
        <w:t>查出问题的</w:t>
      </w:r>
      <w:r>
        <w:rPr>
          <w:rFonts w:hint="eastAsia" w:ascii="仿宋_GB2312" w:hAnsi="仿宋" w:eastAsia="仿宋_GB2312" w:cs="宋体"/>
          <w:color w:val="000000"/>
          <w:kern w:val="0"/>
          <w:sz w:val="32"/>
          <w:szCs w:val="32"/>
        </w:rPr>
        <w:t>整改</w:t>
      </w:r>
      <w:r>
        <w:rPr>
          <w:rFonts w:hint="eastAsia" w:ascii="仿宋_GB2312" w:hAnsi="仿宋" w:eastAsia="仿宋_GB2312" w:cs="宋体"/>
          <w:color w:val="000000"/>
          <w:kern w:val="0"/>
          <w:sz w:val="32"/>
          <w:szCs w:val="32"/>
          <w:lang w:val="en-US" w:eastAsia="zh-CN"/>
        </w:rPr>
        <w:t>工作</w:t>
      </w:r>
      <w:r>
        <w:rPr>
          <w:rFonts w:hint="eastAsia" w:ascii="仿宋_GB2312" w:hAnsi="仿宋" w:eastAsia="仿宋_GB2312" w:cs="宋体"/>
          <w:color w:val="000000"/>
          <w:kern w:val="0"/>
          <w:sz w:val="32"/>
          <w:szCs w:val="32"/>
        </w:rPr>
        <w:t>，召开</w:t>
      </w:r>
      <w:r>
        <w:rPr>
          <w:rFonts w:hint="eastAsia" w:ascii="仿宋_GB2312" w:hAnsi="仿宋" w:eastAsia="仿宋_GB2312" w:cs="宋体"/>
          <w:color w:val="000000"/>
          <w:kern w:val="0"/>
          <w:sz w:val="32"/>
          <w:szCs w:val="32"/>
          <w:lang w:val="en-US" w:eastAsia="zh-CN"/>
        </w:rPr>
        <w:t>市</w:t>
      </w:r>
      <w:r>
        <w:rPr>
          <w:rFonts w:hint="eastAsia" w:ascii="仿宋_GB2312" w:hAnsi="仿宋" w:eastAsia="仿宋_GB2312" w:cs="宋体"/>
          <w:color w:val="000000"/>
          <w:kern w:val="0"/>
          <w:sz w:val="32"/>
          <w:szCs w:val="32"/>
        </w:rPr>
        <w:t>政府常务</w:t>
      </w:r>
      <w:r>
        <w:rPr>
          <w:rFonts w:hint="eastAsia" w:ascii="仿宋_GB2312" w:hAnsi="仿宋" w:eastAsia="仿宋_GB2312" w:cs="宋体"/>
          <w:color w:val="000000"/>
          <w:kern w:val="0"/>
          <w:sz w:val="32"/>
          <w:szCs w:val="32"/>
          <w:lang w:val="en-US" w:eastAsia="zh-CN"/>
        </w:rPr>
        <w:t>会议进行专题部署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要求各部门各负其责，</w:t>
      </w:r>
      <w:r>
        <w:rPr>
          <w:rFonts w:hint="eastAsia" w:ascii="仿宋_GB2312" w:hAnsi="仿宋" w:eastAsia="仿宋_GB2312" w:cs="宋体"/>
          <w:color w:val="000000"/>
          <w:kern w:val="0"/>
          <w:sz w:val="32"/>
          <w:szCs w:val="32"/>
        </w:rPr>
        <w:t>统筹</w:t>
      </w:r>
      <w:r>
        <w:rPr>
          <w:rFonts w:hint="eastAsia" w:ascii="仿宋_GB2312" w:hAnsi="仿宋" w:eastAsia="仿宋_GB2312" w:cs="宋体"/>
          <w:color w:val="000000"/>
          <w:kern w:val="0"/>
          <w:sz w:val="32"/>
          <w:szCs w:val="32"/>
          <w:lang w:val="en-US" w:eastAsia="zh-CN"/>
        </w:rPr>
        <w:t>推进问题整改到位。针对</w:t>
      </w:r>
      <w:r>
        <w:rPr>
          <w:rFonts w:hint="eastAsia" w:ascii="仿宋_GB2312" w:hAnsi="仿宋" w:eastAsia="仿宋_GB2312" w:cs="宋体"/>
          <w:color w:val="000000"/>
          <w:kern w:val="0"/>
          <w:sz w:val="32"/>
          <w:szCs w:val="32"/>
        </w:rPr>
        <w:t>审计工作报告反映</w:t>
      </w:r>
      <w:r>
        <w:rPr>
          <w:rFonts w:hint="eastAsia" w:ascii="仿宋_GB2312" w:hAnsi="仿宋" w:eastAsia="仿宋_GB2312" w:cs="宋体"/>
          <w:color w:val="000000"/>
          <w:kern w:val="0"/>
          <w:sz w:val="32"/>
          <w:szCs w:val="32"/>
          <w:lang w:val="en-US" w:eastAsia="zh-CN"/>
        </w:rPr>
        <w:t>的</w:t>
      </w:r>
      <w:r>
        <w:rPr>
          <w:rFonts w:hint="eastAsia" w:ascii="仿宋_GB2312" w:hAnsi="仿宋" w:eastAsia="仿宋_GB2312" w:cs="宋体"/>
          <w:color w:val="000000"/>
          <w:kern w:val="0"/>
          <w:sz w:val="32"/>
          <w:szCs w:val="32"/>
        </w:rPr>
        <w:t>248个问题</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市审计局认真履行督促检查责任，</w:t>
      </w:r>
      <w:r>
        <w:rPr>
          <w:rFonts w:hint="eastAsia" w:ascii="仿宋_GB2312" w:hAnsi="仿宋" w:eastAsia="仿宋_GB2312" w:cs="宋体"/>
          <w:color w:val="000000"/>
          <w:kern w:val="0"/>
          <w:sz w:val="32"/>
          <w:szCs w:val="32"/>
          <w:lang w:val="en-US" w:eastAsia="zh-CN"/>
        </w:rPr>
        <w:t>精准研判、分类施策，全面推进整改落实落细。首次开展整改专项审计调查，对地方政府专项债券项目审计查出问题整改情况进行跟踪监督，有力推动问题完成整改。</w:t>
      </w:r>
      <w:r>
        <w:rPr>
          <w:rFonts w:hint="eastAsia" w:ascii="仿宋_GB2312" w:hAnsi="仿宋" w:eastAsia="仿宋_GB2312" w:cs="宋体"/>
          <w:color w:val="000000"/>
          <w:kern w:val="0"/>
          <w:sz w:val="32"/>
          <w:szCs w:val="32"/>
        </w:rPr>
        <w:t>积极</w:t>
      </w:r>
      <w:r>
        <w:rPr>
          <w:rFonts w:hint="eastAsia" w:ascii="仿宋_GB2312" w:hAnsi="仿宋" w:eastAsia="仿宋_GB2312" w:cs="Tahoma"/>
          <w:bCs/>
          <w:color w:val="000000"/>
          <w:kern w:val="0"/>
          <w:sz w:val="32"/>
          <w:szCs w:val="32"/>
        </w:rPr>
        <w:t>配合市人大预工委，对</w:t>
      </w:r>
      <w:r>
        <w:rPr>
          <w:rFonts w:hint="eastAsia" w:ascii="仿宋_GB2312" w:hAnsi="仿宋" w:eastAsia="仿宋_GB2312" w:cs="Tahoma"/>
          <w:bCs/>
          <w:color w:val="000000"/>
          <w:kern w:val="0"/>
          <w:sz w:val="32"/>
          <w:szCs w:val="32"/>
          <w:lang w:val="en-US" w:eastAsia="zh-CN"/>
        </w:rPr>
        <w:t>未完成整改</w:t>
      </w:r>
      <w:r>
        <w:rPr>
          <w:rFonts w:hint="eastAsia" w:ascii="仿宋_GB2312" w:hAnsi="仿宋" w:eastAsia="仿宋_GB2312" w:cs="Tahoma"/>
          <w:bCs/>
          <w:color w:val="000000"/>
          <w:kern w:val="0"/>
          <w:sz w:val="32"/>
          <w:szCs w:val="32"/>
        </w:rPr>
        <w:t>问题进行督</w:t>
      </w:r>
      <w:r>
        <w:rPr>
          <w:rFonts w:hint="eastAsia" w:ascii="仿宋_GB2312" w:hAnsi="仿宋" w:eastAsia="仿宋_GB2312" w:cs="Tahoma"/>
          <w:bCs/>
          <w:color w:val="000000"/>
          <w:kern w:val="0"/>
          <w:sz w:val="32"/>
          <w:szCs w:val="32"/>
          <w:lang w:val="en-US" w:eastAsia="zh-CN"/>
        </w:rPr>
        <w:t>查，有效提升</w:t>
      </w:r>
      <w:r>
        <w:rPr>
          <w:rFonts w:hint="eastAsia" w:ascii="仿宋_GB2312" w:hAnsi="仿宋" w:eastAsia="仿宋_GB2312" w:cs="Tahoma"/>
          <w:bCs/>
          <w:color w:val="000000"/>
          <w:kern w:val="0"/>
          <w:sz w:val="32"/>
          <w:szCs w:val="32"/>
        </w:rPr>
        <w:t>监督合力。</w:t>
      </w:r>
      <w:r>
        <w:rPr>
          <w:rFonts w:hint="eastAsia" w:ascii="仿宋_GB2312" w:eastAsia="仿宋_GB2312"/>
          <w:color w:val="000000"/>
          <w:sz w:val="32"/>
          <w:szCs w:val="32"/>
        </w:rPr>
        <w:t>有关县（市）区、部门和单位</w:t>
      </w:r>
      <w:r>
        <w:rPr>
          <w:rFonts w:hint="eastAsia" w:ascii="仿宋_GB2312" w:eastAsia="仿宋_GB2312"/>
          <w:color w:val="000000"/>
          <w:sz w:val="32"/>
          <w:szCs w:val="32"/>
          <w:lang w:val="en-US" w:eastAsia="zh-CN"/>
        </w:rPr>
        <w:t>切实</w:t>
      </w:r>
      <w:r>
        <w:rPr>
          <w:rFonts w:hint="eastAsia" w:ascii="仿宋_GB2312" w:eastAsia="仿宋_GB2312"/>
          <w:color w:val="000000"/>
          <w:sz w:val="32"/>
          <w:szCs w:val="32"/>
        </w:rPr>
        <w:t>履行整改主体责任，</w:t>
      </w:r>
      <w:r>
        <w:rPr>
          <w:rFonts w:hint="eastAsia" w:ascii="仿宋_GB2312" w:eastAsia="仿宋_GB2312"/>
          <w:color w:val="000000"/>
          <w:sz w:val="32"/>
          <w:szCs w:val="32"/>
          <w:lang w:val="en-US" w:eastAsia="zh-CN"/>
        </w:rPr>
        <w:t>稳步推进整改工作，以问题整改推动工作落实。截至目前，上述问题</w:t>
      </w:r>
      <w:r>
        <w:rPr>
          <w:rFonts w:hint="eastAsia" w:ascii="仿宋_GB2312" w:hAnsi="仿宋" w:eastAsia="仿宋_GB2312" w:cs="宋体"/>
          <w:color w:val="000000"/>
          <w:kern w:val="0"/>
          <w:sz w:val="32"/>
          <w:szCs w:val="32"/>
        </w:rPr>
        <w:t>已完</w:t>
      </w:r>
      <w:bookmarkStart w:id="0" w:name="_GoBack"/>
      <w:bookmarkEnd w:id="0"/>
      <w:r>
        <w:rPr>
          <w:rFonts w:hint="eastAsia" w:ascii="仿宋_GB2312" w:hAnsi="仿宋" w:eastAsia="仿宋_GB2312" w:cs="宋体"/>
          <w:color w:val="000000"/>
          <w:kern w:val="0"/>
          <w:sz w:val="32"/>
          <w:szCs w:val="32"/>
        </w:rPr>
        <w:t>成整改</w:t>
      </w:r>
      <w:r>
        <w:rPr>
          <w:rFonts w:ascii="仿宋_GB2312" w:hAnsi="仿宋" w:eastAsia="仿宋_GB2312" w:cs="宋体"/>
          <w:color w:val="000000"/>
          <w:kern w:val="0"/>
          <w:sz w:val="32"/>
          <w:szCs w:val="32"/>
        </w:rPr>
        <w:t>2</w:t>
      </w:r>
      <w:r>
        <w:rPr>
          <w:rFonts w:hint="eastAsia"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lang w:val="en-US" w:eastAsia="zh-CN"/>
        </w:rPr>
        <w:t>6</w:t>
      </w:r>
      <w:r>
        <w:rPr>
          <w:rFonts w:hint="eastAsia" w:ascii="仿宋_GB2312" w:hAnsi="仿宋" w:eastAsia="仿宋_GB2312" w:cs="宋体"/>
          <w:color w:val="000000"/>
          <w:kern w:val="0"/>
          <w:sz w:val="32"/>
          <w:szCs w:val="32"/>
        </w:rPr>
        <w:t>个，整改金额</w:t>
      </w:r>
      <w:r>
        <w:rPr>
          <w:rFonts w:hint="eastAsia" w:ascii="仿宋_GB2312" w:hAnsi="仿宋" w:eastAsia="仿宋_GB2312" w:cs="宋体"/>
          <w:color w:val="000000"/>
          <w:kern w:val="0"/>
          <w:sz w:val="32"/>
          <w:szCs w:val="32"/>
          <w:lang w:val="en-US" w:eastAsia="zh-CN"/>
        </w:rPr>
        <w:t>97.4</w:t>
      </w:r>
      <w:r>
        <w:rPr>
          <w:rFonts w:hint="eastAsia" w:ascii="仿宋_GB2312" w:hAnsi="仿宋" w:eastAsia="仿宋_GB2312" w:cs="宋体"/>
          <w:color w:val="000000"/>
          <w:kern w:val="0"/>
          <w:sz w:val="32"/>
          <w:szCs w:val="32"/>
        </w:rPr>
        <w:t>亿元。</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sz w:val="32"/>
          <w:szCs w:val="32"/>
          <w:shd w:val="clear" w:color="auto" w:fill="FFFFFF"/>
          <w:lang w:val="en-US" w:eastAsia="zh-CN"/>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黑体" w:hAnsi="黑体" w:eastAsia="黑体" w:cs="黑体"/>
        </w:rPr>
      </w:pPr>
      <w:r>
        <w:rPr>
          <w:rFonts w:hint="eastAsia" w:ascii="黑体" w:hAnsi="黑体" w:eastAsia="黑体" w:cs="黑体"/>
          <w:color w:val="000000"/>
          <w:sz w:val="32"/>
          <w:szCs w:val="32"/>
          <w:shd w:val="clear" w:color="auto" w:fill="FFFFFF"/>
          <w:lang w:val="en-US" w:eastAsia="zh-CN"/>
        </w:rPr>
        <w:t>二、</w:t>
      </w:r>
      <w:r>
        <w:rPr>
          <w:rFonts w:hint="eastAsia" w:ascii="黑体" w:hAnsi="黑体" w:eastAsia="黑体" w:cs="黑体"/>
          <w:color w:val="000000"/>
          <w:sz w:val="32"/>
          <w:szCs w:val="32"/>
          <w:shd w:val="clear" w:color="auto" w:fill="FFFFFF"/>
        </w:rPr>
        <w:t>审计查出问题的整改情况</w:t>
      </w:r>
    </w:p>
    <w:p>
      <w:pPr>
        <w:keepNext w:val="0"/>
        <w:keepLines w:val="0"/>
        <w:pageBreakBefore w:val="0"/>
        <w:widowControl/>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市本级财政管理方面。</w:t>
      </w:r>
      <w:r>
        <w:rPr>
          <w:rFonts w:hint="eastAsia" w:ascii="仿宋_GB2312" w:hAnsi="仿宋" w:eastAsia="仿宋_GB2312" w:cs="宋体"/>
          <w:color w:val="000000"/>
          <w:kern w:val="0"/>
          <w:sz w:val="32"/>
          <w:szCs w:val="32"/>
        </w:rPr>
        <w:t>针对部分预算之间边界不清晰、</w:t>
      </w:r>
      <w:r>
        <w:rPr>
          <w:rFonts w:hint="eastAsia" w:ascii="仿宋_GB2312" w:eastAsia="仿宋_GB2312"/>
          <w:sz w:val="32"/>
          <w:szCs w:val="32"/>
        </w:rPr>
        <w:t>预算绩效管理办法不完善、当年</w:t>
      </w:r>
      <w:r>
        <w:rPr>
          <w:rFonts w:hint="eastAsia" w:ascii="仿宋_GB2312" w:hAnsi="仿宋" w:eastAsia="仿宋_GB2312" w:cs="仿宋"/>
          <w:sz w:val="32"/>
          <w:szCs w:val="32"/>
        </w:rPr>
        <w:t>新增债券资金未及时使用等问题，</w:t>
      </w:r>
      <w:r>
        <w:rPr>
          <w:rFonts w:hint="eastAsia" w:ascii="仿宋_GB2312" w:hAnsi="仿宋" w:eastAsia="仿宋_GB2312" w:cs="宋体"/>
          <w:color w:val="000000"/>
          <w:kern w:val="0"/>
          <w:sz w:val="32"/>
          <w:szCs w:val="32"/>
        </w:rPr>
        <w:t>财政部门多措并举积极整改，</w:t>
      </w:r>
      <w:r>
        <w:rPr>
          <w:rFonts w:hint="eastAsia" w:ascii="仿宋_GB2312" w:eastAsia="仿宋_GB2312"/>
          <w:sz w:val="32"/>
          <w:szCs w:val="32"/>
        </w:rPr>
        <w:t>加大国有资本经营预算对企业补助力度，确保四本预算的独立性。修</w:t>
      </w:r>
      <w:r>
        <w:rPr>
          <w:rFonts w:hint="eastAsia" w:ascii="仿宋_GB2312" w:eastAsia="仿宋_GB2312"/>
          <w:sz w:val="32"/>
          <w:szCs w:val="32"/>
          <w:lang w:val="en-US" w:eastAsia="zh-CN"/>
        </w:rPr>
        <w:t>订</w:t>
      </w:r>
      <w:r>
        <w:rPr>
          <w:rFonts w:hint="eastAsia" w:ascii="仿宋_GB2312" w:eastAsia="仿宋_GB2312"/>
          <w:sz w:val="32"/>
          <w:szCs w:val="32"/>
        </w:rPr>
        <w:t>相关预算绩效管理办法。已</w:t>
      </w:r>
      <w:r>
        <w:rPr>
          <w:rFonts w:hint="eastAsia" w:ascii="仿宋_GB2312" w:hAnsi="仿宋" w:eastAsia="仿宋_GB2312" w:cs="仿宋"/>
          <w:sz w:val="32"/>
          <w:szCs w:val="32"/>
        </w:rPr>
        <w:t>将</w:t>
      </w:r>
      <w:r>
        <w:rPr>
          <w:rFonts w:hint="eastAsia" w:ascii="仿宋_GB2312" w:hAnsi="仿宋" w:eastAsia="仿宋_GB2312" w:cs="宋体"/>
          <w:color w:val="000000"/>
          <w:kern w:val="0"/>
          <w:sz w:val="32"/>
          <w:szCs w:val="32"/>
        </w:rPr>
        <w:t>当年新增债券资金全部支出</w:t>
      </w:r>
      <w:r>
        <w:rPr>
          <w:rFonts w:hint="eastAsia" w:ascii="仿宋_GB2312" w:hAnsi="仿宋" w:eastAsia="仿宋_GB2312" w:cs="Tahoma"/>
          <w:bCs/>
          <w:color w:val="000000"/>
          <w:kern w:val="0"/>
          <w:sz w:val="32"/>
          <w:szCs w:val="32"/>
        </w:rPr>
        <w:t>。</w:t>
      </w:r>
    </w:p>
    <w:p>
      <w:pPr>
        <w:keepNext w:val="0"/>
        <w:keepLines w:val="0"/>
        <w:pageBreakBefore w:val="0"/>
        <w:suppressAutoHyphens w:val="0"/>
        <w:kinsoku/>
        <w:wordWrap/>
        <w:overflowPunct/>
        <w:topLinePunct w:val="0"/>
        <w:autoSpaceDE/>
        <w:autoSpaceDN/>
        <w:bidi w:val="0"/>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_GB2312" w:eastAsia="仿宋_GB2312" w:cs="仿宋_GB2312"/>
          <w:sz w:val="32"/>
          <w:szCs w:val="32"/>
        </w:rPr>
        <w:t>部门预算执</w:t>
      </w:r>
      <w:r>
        <w:rPr>
          <w:rFonts w:hint="eastAsia" w:ascii="仿宋_GB2312" w:hAnsi="仿宋" w:eastAsia="仿宋_GB2312" w:cs="Tahoma"/>
          <w:bCs/>
          <w:color w:val="000000"/>
          <w:kern w:val="0"/>
          <w:sz w:val="32"/>
          <w:szCs w:val="32"/>
        </w:rPr>
        <w:t>行方面。针对未严格执行国库集中支付制度、</w:t>
      </w:r>
      <w:r>
        <w:rPr>
          <w:rFonts w:hint="eastAsia" w:ascii="仿宋_GB2312" w:hAnsi="仿宋" w:eastAsia="仿宋_GB2312" w:cs="宋体"/>
          <w:color w:val="000000"/>
          <w:kern w:val="0"/>
          <w:sz w:val="32"/>
          <w:szCs w:val="32"/>
        </w:rPr>
        <w:t>存量资金未上交财政等</w:t>
      </w:r>
      <w:r>
        <w:rPr>
          <w:rFonts w:hint="eastAsia" w:ascii="仿宋_GB2312" w:hAnsi="仿宋" w:eastAsia="仿宋_GB2312" w:cs="Tahoma"/>
          <w:bCs/>
          <w:color w:val="000000"/>
          <w:kern w:val="0"/>
          <w:sz w:val="32"/>
          <w:szCs w:val="32"/>
        </w:rPr>
        <w:t>问题，有关部门和单位通过完善预算编制、强化预算执行管理、加强制度建设等方式积极整改，促进部门预算执行更加规范、制度更加完善。</w:t>
      </w:r>
      <w:r>
        <w:rPr>
          <w:rFonts w:hint="eastAsia" w:ascii="仿宋_GB2312" w:hAnsi="仿宋" w:eastAsia="仿宋_GB2312" w:cs="宋体"/>
          <w:color w:val="000000"/>
          <w:kern w:val="0"/>
          <w:sz w:val="32"/>
          <w:szCs w:val="32"/>
        </w:rPr>
        <w:t>4个单位已将存量资金568万元上交财政。</w:t>
      </w:r>
    </w:p>
    <w:p>
      <w:pPr>
        <w:keepNext w:val="0"/>
        <w:keepLines w:val="0"/>
        <w:pageBreakBefore w:val="0"/>
        <w:suppressAutoHyphens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 w:eastAsia="仿宋_GB2312" w:cs="Tahoma"/>
          <w:bCs/>
          <w:color w:val="000000"/>
          <w:kern w:val="0"/>
          <w:sz w:val="32"/>
          <w:szCs w:val="32"/>
        </w:rPr>
        <w:t>城区和开发区财政收支方面</w:t>
      </w:r>
      <w:r>
        <w:rPr>
          <w:rFonts w:hint="eastAsia" w:ascii="仿宋_GB2312" w:hAnsi="仿宋_GB2312" w:eastAsia="仿宋_GB2312" w:cs="仿宋_GB2312"/>
          <w:sz w:val="32"/>
          <w:szCs w:val="32"/>
        </w:rPr>
        <w:t>。针对未按规定设置预备费、非税收入收缴不及时、超进度拨付工程款等问题，各区均能扎实推进整改，规范非税收入收缴和预算编制，已将非税收入5660万元收缴到位。加强专项资金管理，积极推动项目实施，确保按工程进度支付工程款。</w:t>
      </w:r>
    </w:p>
    <w:p>
      <w:pPr>
        <w:keepNext w:val="0"/>
        <w:keepLines w:val="0"/>
        <w:pageBreakBefore w:val="0"/>
        <w:tabs>
          <w:tab w:val="left" w:pos="3070"/>
        </w:tabs>
        <w:suppressAutoHyphens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重点专项资金和重大投资项目方面。针对科技、养老服务政策落实不到位、扶贫项目发挥效益不佳等问题，各区、各部门</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单位积极落实整改，相关部门已出台市级科技专项资金管理办法</w:t>
      </w:r>
      <w:r>
        <w:rPr>
          <w:rFonts w:hint="eastAsia" w:ascii="仿宋_GB2312" w:hAnsi="仿宋" w:eastAsia="仿宋_GB2312" w:cs="宋体"/>
          <w:color w:val="000000"/>
          <w:kern w:val="0"/>
          <w:sz w:val="32"/>
          <w:szCs w:val="32"/>
        </w:rPr>
        <w:t>。7个区、4个开发区将270名老人</w:t>
      </w:r>
      <w:r>
        <w:rPr>
          <w:rFonts w:hint="eastAsia" w:ascii="仿宋_GB2312" w:hAnsi="仿宋" w:eastAsia="仿宋_GB2312"/>
          <w:sz w:val="32"/>
          <w:szCs w:val="32"/>
        </w:rPr>
        <w:t>高龄津贴发放到位，促进政策落实更加有效。</w:t>
      </w:r>
      <w:r>
        <w:rPr>
          <w:rFonts w:hint="eastAsia" w:ascii="仿宋_GB2312" w:hAnsi="仿宋_GB2312" w:eastAsia="仿宋_GB2312" w:cs="仿宋_GB2312"/>
          <w:sz w:val="32"/>
          <w:szCs w:val="32"/>
        </w:rPr>
        <w:t>推动</w:t>
      </w:r>
      <w:r>
        <w:rPr>
          <w:rFonts w:hint="eastAsia" w:ascii="仿宋_GB2312" w:hAnsi="仿宋" w:eastAsia="仿宋_GB2312"/>
          <w:sz w:val="32"/>
          <w:szCs w:val="32"/>
        </w:rPr>
        <w:t>9个扶贫项目恢复经营或重新发包，充分发挥扶贫资产效益。</w:t>
      </w:r>
    </w:p>
    <w:p>
      <w:pPr>
        <w:keepNext w:val="0"/>
        <w:keepLines w:val="0"/>
        <w:pageBreakBefore w:val="0"/>
        <w:widowControl/>
        <w:suppressAutoHyphens w:val="0"/>
        <w:kinsoku/>
        <w:wordWrap/>
        <w:overflowPunct/>
        <w:topLinePunct w:val="0"/>
        <w:autoSpaceDE/>
        <w:autoSpaceDN/>
        <w:bidi w:val="0"/>
        <w:spacing w:line="560" w:lineRule="exact"/>
        <w:ind w:firstLine="640" w:firstLineChars="200"/>
        <w:textAlignment w:val="auto"/>
        <w:rPr>
          <w:rFonts w:ascii="楷体_GB2312" w:hAnsi="仿宋" w:eastAsia="楷体_GB2312" w:cs="Tahoma"/>
          <w:bCs/>
          <w:color w:val="000000"/>
          <w:kern w:val="0"/>
          <w:sz w:val="32"/>
          <w:szCs w:val="32"/>
        </w:rPr>
      </w:pPr>
      <w:r>
        <w:rPr>
          <w:rFonts w:hint="eastAsia" w:ascii="仿宋_GB2312" w:hAnsi="仿宋_GB2312" w:eastAsia="仿宋_GB2312" w:cs="仿宋_GB2312"/>
          <w:sz w:val="32"/>
          <w:szCs w:val="32"/>
        </w:rPr>
        <w:t>国有资产方面。2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个单位将国有资产</w:t>
      </w:r>
      <w:r>
        <w:rPr>
          <w:rFonts w:hint="eastAsia" w:ascii="仿宋_GB2312" w:hAnsi="仿宋_GB2312" w:eastAsia="仿宋_GB2312" w:cs="仿宋_GB2312"/>
          <w:sz w:val="32"/>
          <w:szCs w:val="32"/>
          <w:lang w:val="en-US" w:eastAsia="zh-CN"/>
        </w:rPr>
        <w:t>1618</w:t>
      </w:r>
      <w:r>
        <w:rPr>
          <w:rFonts w:hint="eastAsia" w:ascii="仿宋_GB2312" w:hAnsi="仿宋_GB2312" w:eastAsia="仿宋_GB2312" w:cs="仿宋_GB2312"/>
          <w:sz w:val="32"/>
          <w:szCs w:val="32"/>
        </w:rPr>
        <w:t>万元补记入账。7个单位通过自用、出租等方式盘活15处房产和价值1266万元设备，有效保障了国有资产安全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提升了国有资产使用效率。</w:t>
      </w:r>
    </w:p>
    <w:p>
      <w:pPr>
        <w:keepNext w:val="0"/>
        <w:keepLines w:val="0"/>
        <w:pageBreakBefore w:val="0"/>
        <w:widowControl/>
        <w:suppressAutoHyphens w:val="0"/>
        <w:kinsoku/>
        <w:wordWrap/>
        <w:overflowPunct/>
        <w:topLinePunct w:val="0"/>
        <w:autoSpaceDE/>
        <w:autoSpaceDN/>
        <w:bidi w:val="0"/>
        <w:spacing w:line="560" w:lineRule="exact"/>
        <w:ind w:firstLine="640" w:firstLineChars="200"/>
        <w:textAlignment w:val="auto"/>
        <w:rPr>
          <w:rFonts w:ascii="楷体_GB2312" w:hAnsi="仿宋" w:eastAsia="楷体_GB2312" w:cs="Tahoma"/>
          <w:bCs/>
          <w:color w:val="000000"/>
          <w:kern w:val="0"/>
          <w:sz w:val="32"/>
          <w:szCs w:val="32"/>
        </w:rPr>
      </w:pPr>
      <w:r>
        <w:rPr>
          <w:rFonts w:hint="eastAsia" w:ascii="黑体" w:hAnsi="黑体" w:eastAsia="黑体" w:cs="黑体"/>
          <w:bCs/>
          <w:color w:val="000000"/>
          <w:kern w:val="0"/>
          <w:sz w:val="32"/>
          <w:szCs w:val="32"/>
          <w:lang w:val="en-US" w:eastAsia="zh-CN"/>
        </w:rPr>
        <w:t>三、</w:t>
      </w:r>
      <w:r>
        <w:rPr>
          <w:rFonts w:hint="eastAsia" w:ascii="黑体" w:hAnsi="黑体" w:eastAsia="黑体" w:cs="黑体"/>
          <w:bCs/>
          <w:color w:val="000000"/>
          <w:kern w:val="0"/>
          <w:sz w:val="32"/>
          <w:szCs w:val="32"/>
        </w:rPr>
        <w:t>后续整改工作安排及措施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cs="Tahoma"/>
          <w:bCs/>
          <w:color w:val="000000"/>
          <w:kern w:val="0"/>
          <w:sz w:val="32"/>
          <w:szCs w:val="32"/>
        </w:rPr>
        <w:t>目前还</w:t>
      </w:r>
      <w:r>
        <w:rPr>
          <w:rFonts w:hint="eastAsia" w:ascii="仿宋_GB2312" w:hAnsi="仿宋" w:eastAsia="仿宋_GB2312" w:cs="Tahoma"/>
          <w:bCs/>
          <w:color w:val="000000"/>
          <w:kern w:val="0"/>
          <w:sz w:val="32"/>
          <w:szCs w:val="32"/>
          <w:lang w:val="en-US" w:eastAsia="zh-CN"/>
        </w:rPr>
        <w:t>在持续整改中的32个问题，</w:t>
      </w:r>
      <w:r>
        <w:rPr>
          <w:rFonts w:hint="eastAsia" w:ascii="仿宋_GB2312" w:hAnsi="仿宋" w:eastAsia="仿宋_GB2312" w:cs="Tahoma"/>
          <w:bCs/>
          <w:color w:val="000000"/>
          <w:kern w:val="0"/>
          <w:sz w:val="32"/>
          <w:szCs w:val="32"/>
        </w:rPr>
        <w:t>主要有3种情况：</w:t>
      </w:r>
      <w:r>
        <w:rPr>
          <w:rFonts w:hint="eastAsia" w:ascii="仿宋_GB2312" w:hAnsi="仿宋" w:eastAsia="仿宋_GB2312" w:cs="Tahoma"/>
          <w:bCs/>
          <w:color w:val="000000"/>
          <w:kern w:val="0"/>
          <w:sz w:val="32"/>
          <w:szCs w:val="32"/>
          <w:lang w:val="en-US" w:eastAsia="zh-CN"/>
        </w:rPr>
        <w:t>一是</w:t>
      </w:r>
      <w:r>
        <w:rPr>
          <w:rFonts w:hint="eastAsia" w:ascii="仿宋_GB2312" w:hAnsi="仿宋" w:eastAsia="仿宋_GB2312" w:cs="Tahoma"/>
          <w:bCs/>
          <w:color w:val="000000"/>
          <w:kern w:val="0"/>
          <w:sz w:val="32"/>
          <w:szCs w:val="32"/>
        </w:rPr>
        <w:t>部分问题整改履行相关程序时间较长</w:t>
      </w:r>
      <w:r>
        <w:rPr>
          <w:rFonts w:hint="eastAsia" w:ascii="仿宋_GB2312" w:hAnsi="仿宋" w:eastAsia="仿宋_GB2312" w:cs="Tahoma"/>
          <w:bCs/>
          <w:color w:val="000000"/>
          <w:kern w:val="0"/>
          <w:sz w:val="32"/>
          <w:szCs w:val="32"/>
          <w:lang w:eastAsia="zh-CN"/>
        </w:rPr>
        <w:t>，</w:t>
      </w:r>
      <w:r>
        <w:rPr>
          <w:rFonts w:hint="eastAsia" w:ascii="仿宋_GB2312" w:hAnsi="仿宋" w:eastAsia="仿宋_GB2312" w:cs="Tahoma"/>
          <w:bCs/>
          <w:color w:val="000000"/>
          <w:kern w:val="0"/>
          <w:sz w:val="32"/>
          <w:szCs w:val="32"/>
        </w:rPr>
        <w:t>需多</w:t>
      </w:r>
      <w:r>
        <w:rPr>
          <w:rFonts w:hint="eastAsia" w:ascii="仿宋_GB2312" w:hAnsi="仿宋" w:eastAsia="仿宋_GB2312" w:cs="Tahoma"/>
          <w:bCs/>
          <w:color w:val="000000"/>
          <w:kern w:val="0"/>
          <w:sz w:val="32"/>
          <w:szCs w:val="32"/>
          <w:lang w:val="en-US" w:eastAsia="zh-CN"/>
        </w:rPr>
        <w:t>个</w:t>
      </w:r>
      <w:r>
        <w:rPr>
          <w:rFonts w:hint="eastAsia" w:ascii="仿宋_GB2312" w:hAnsi="仿宋" w:eastAsia="仿宋_GB2312" w:cs="Tahoma"/>
          <w:bCs/>
          <w:color w:val="000000"/>
          <w:kern w:val="0"/>
          <w:sz w:val="32"/>
          <w:szCs w:val="32"/>
        </w:rPr>
        <w:t>部门协调解决</w:t>
      </w:r>
      <w:r>
        <w:rPr>
          <w:rFonts w:hint="eastAsia" w:ascii="仿宋_GB2312" w:hAnsi="仿宋" w:eastAsia="仿宋_GB2312" w:cs="Tahoma"/>
          <w:bCs/>
          <w:color w:val="000000"/>
          <w:kern w:val="0"/>
          <w:sz w:val="32"/>
          <w:szCs w:val="32"/>
          <w:highlight w:val="none"/>
          <w:lang w:eastAsia="zh-CN"/>
        </w:rPr>
        <w:t>。</w:t>
      </w:r>
      <w:r>
        <w:rPr>
          <w:rFonts w:hint="eastAsia" w:ascii="仿宋_GB2312" w:hAnsi="仿宋" w:eastAsia="仿宋_GB2312" w:cs="Tahoma"/>
          <w:bCs/>
          <w:color w:val="000000"/>
          <w:kern w:val="0"/>
          <w:sz w:val="32"/>
          <w:szCs w:val="32"/>
          <w:highlight w:val="none"/>
        </w:rPr>
        <w:t>二是部分问题因</w:t>
      </w:r>
      <w:r>
        <w:rPr>
          <w:rFonts w:hint="eastAsia" w:ascii="仿宋_GB2312" w:hAnsi="仿宋" w:eastAsia="仿宋_GB2312" w:cs="Tahoma"/>
          <w:bCs/>
          <w:color w:val="000000"/>
          <w:kern w:val="0"/>
          <w:sz w:val="32"/>
          <w:szCs w:val="32"/>
          <w:highlight w:val="none"/>
          <w:lang w:val="en-US" w:eastAsia="zh-CN"/>
        </w:rPr>
        <w:t>地方财力或企业资金紧张等原因，一时难以整改到位。</w:t>
      </w:r>
      <w:r>
        <w:rPr>
          <w:rFonts w:hint="eastAsia" w:ascii="仿宋_GB2312" w:hAnsi="仿宋" w:eastAsia="仿宋_GB2312" w:cs="Tahoma"/>
          <w:bCs/>
          <w:color w:val="000000"/>
          <w:kern w:val="0"/>
          <w:sz w:val="32"/>
          <w:szCs w:val="32"/>
          <w:highlight w:val="none"/>
        </w:rPr>
        <w:t>三是部分问题属于历史遗留问题，</w:t>
      </w:r>
      <w:r>
        <w:rPr>
          <w:rFonts w:hint="eastAsia" w:ascii="仿宋_GB2312" w:hAnsi="仿宋" w:eastAsia="仿宋_GB2312" w:cs="Tahoma"/>
          <w:bCs/>
          <w:color w:val="000000"/>
          <w:kern w:val="0"/>
          <w:sz w:val="32"/>
          <w:szCs w:val="32"/>
          <w:highlight w:val="none"/>
          <w:lang w:val="en-US" w:eastAsia="zh-CN"/>
        </w:rPr>
        <w:t>情况复杂，整改难度较大</w:t>
      </w:r>
      <w:r>
        <w:rPr>
          <w:rFonts w:hint="eastAsia" w:ascii="仿宋_GB2312" w:hAnsi="仿宋" w:eastAsia="仿宋_GB2312" w:cs="Tahoma"/>
          <w:bCs/>
          <w:color w:val="000000"/>
          <w:kern w:val="0"/>
          <w:sz w:val="32"/>
          <w:szCs w:val="32"/>
          <w:lang w:val="en-US" w:eastAsia="zh-CN"/>
        </w:rPr>
        <w:t>。对尚未整改到位的问题，事涉部门和单位已对后续整改作出安排。</w:t>
      </w:r>
      <w:r>
        <w:rPr>
          <w:rFonts w:hint="eastAsia" w:ascii="仿宋_GB2312" w:hAnsi="仿宋" w:eastAsia="仿宋_GB2312" w:cs="Tahoma"/>
          <w:bCs/>
          <w:color w:val="000000"/>
          <w:kern w:val="0"/>
          <w:sz w:val="32"/>
          <w:szCs w:val="32"/>
        </w:rPr>
        <w:t>下</w:t>
      </w:r>
      <w:r>
        <w:rPr>
          <w:rFonts w:hint="eastAsia" w:ascii="仿宋_GB2312" w:hAnsi="仿宋" w:eastAsia="仿宋_GB2312" w:cs="Tahoma"/>
          <w:bCs/>
          <w:color w:val="000000"/>
          <w:kern w:val="0"/>
          <w:sz w:val="32"/>
          <w:szCs w:val="32"/>
          <w:lang w:val="en-US" w:eastAsia="zh-CN"/>
        </w:rPr>
        <w:t>一</w:t>
      </w:r>
      <w:r>
        <w:rPr>
          <w:rFonts w:hint="eastAsia" w:ascii="仿宋_GB2312" w:hAnsi="仿宋" w:eastAsia="仿宋_GB2312" w:cs="Tahoma"/>
          <w:bCs/>
          <w:color w:val="000000"/>
          <w:kern w:val="0"/>
          <w:sz w:val="32"/>
          <w:szCs w:val="32"/>
        </w:rPr>
        <w:t>步，</w:t>
      </w:r>
      <w:r>
        <w:rPr>
          <w:rFonts w:hint="eastAsia" w:ascii="仿宋_GB2312" w:hAnsi="仿宋" w:eastAsia="仿宋_GB2312" w:cs="Tahoma"/>
          <w:bCs/>
          <w:color w:val="000000"/>
          <w:kern w:val="0"/>
          <w:sz w:val="32"/>
          <w:szCs w:val="32"/>
          <w:lang w:val="en-US" w:eastAsia="zh-CN"/>
        </w:rPr>
        <w:t>市政府</w:t>
      </w:r>
      <w:r>
        <w:rPr>
          <w:rFonts w:hint="eastAsia" w:ascii="仿宋_GB2312" w:hAnsi="仿宋" w:eastAsia="仿宋_GB2312" w:cs="Tahoma"/>
          <w:bCs/>
          <w:color w:val="000000"/>
          <w:kern w:val="0"/>
          <w:sz w:val="32"/>
          <w:szCs w:val="32"/>
        </w:rPr>
        <w:t>将</w:t>
      </w:r>
      <w:r>
        <w:rPr>
          <w:rFonts w:hint="eastAsia" w:ascii="仿宋_GB2312" w:hAnsi="仿宋" w:eastAsia="仿宋_GB2312" w:cs="Tahoma"/>
          <w:bCs/>
          <w:color w:val="000000"/>
          <w:kern w:val="0"/>
          <w:sz w:val="32"/>
          <w:szCs w:val="32"/>
          <w:lang w:val="en-US" w:eastAsia="zh-CN"/>
        </w:rPr>
        <w:t>全面贯彻</w:t>
      </w:r>
      <w:r>
        <w:rPr>
          <w:rFonts w:hint="eastAsia" w:ascii="仿宋_GB2312" w:hAnsi="仿宋" w:eastAsia="仿宋_GB2312" w:cs="Tahoma"/>
          <w:bCs/>
          <w:color w:val="000000"/>
          <w:kern w:val="0"/>
          <w:sz w:val="32"/>
          <w:szCs w:val="32"/>
        </w:rPr>
        <w:t>习近平总书记在二十届中央审计委员会</w:t>
      </w:r>
      <w:r>
        <w:rPr>
          <w:rFonts w:hint="eastAsia" w:ascii="仿宋_GB2312" w:hAnsi="仿宋_GB2312" w:eastAsia="仿宋_GB2312" w:cs="仿宋_GB2312"/>
          <w:sz w:val="32"/>
          <w:szCs w:val="32"/>
          <w:lang w:val="en-US" w:eastAsia="zh-CN"/>
        </w:rPr>
        <w:t>第一次会议上对审计整改工作的重要指示精神</w:t>
      </w:r>
      <w:r>
        <w:rPr>
          <w:rFonts w:hint="eastAsia" w:ascii="仿宋_GB2312" w:hAnsi="仿宋" w:eastAsia="仿宋_GB2312" w:cs="Tahoma"/>
          <w:bCs/>
          <w:color w:val="000000"/>
          <w:kern w:val="0"/>
          <w:sz w:val="32"/>
          <w:szCs w:val="32"/>
        </w:rPr>
        <w:t>，</w:t>
      </w:r>
      <w:r>
        <w:rPr>
          <w:rFonts w:hint="eastAsia" w:ascii="仿宋_GB2312" w:hAnsi="仿宋" w:eastAsia="仿宋_GB2312" w:cs="Tahoma"/>
          <w:bCs/>
          <w:color w:val="000000"/>
          <w:kern w:val="0"/>
          <w:sz w:val="32"/>
          <w:szCs w:val="32"/>
          <w:lang w:val="en-US" w:eastAsia="zh-CN"/>
        </w:rPr>
        <w:t>深入推进审计查出问题整改工作，</w:t>
      </w:r>
      <w:r>
        <w:rPr>
          <w:rFonts w:hint="eastAsia" w:ascii="仿宋_GB2312" w:hAnsi="仿宋" w:eastAsia="仿宋_GB2312" w:cs="宋体"/>
          <w:color w:val="000000"/>
          <w:kern w:val="0"/>
          <w:sz w:val="32"/>
          <w:szCs w:val="32"/>
          <w:lang w:val="en-US" w:eastAsia="zh-CN"/>
        </w:rPr>
        <w:t>不断深化和巩固整改实效，全力服务保障长春经济社会高质量发展。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eastAsia="宋体"/>
          <w:lang w:eastAsia="zh-CN"/>
        </w:rPr>
      </w:pPr>
    </w:p>
    <w:sectPr>
      <w:footerReference r:id="rId3" w:type="default"/>
      <w:pgSz w:w="11906" w:h="16838"/>
      <w:pgMar w:top="1361" w:right="1797" w:bottom="1361" w:left="1797" w:header="720"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1" locked="0" layoutInCell="1" allowOverlap="1">
              <wp:simplePos x="0" y="0"/>
              <wp:positionH relativeFrom="margin">
                <wp:posOffset>2381250</wp:posOffset>
              </wp:positionH>
              <wp:positionV relativeFrom="paragraph">
                <wp:posOffset>5080</wp:posOffset>
              </wp:positionV>
              <wp:extent cx="400050" cy="198755"/>
              <wp:effectExtent l="0" t="0" r="6350" b="4445"/>
              <wp:wrapNone/>
              <wp:docPr id="1" name="文本框 1"/>
              <wp:cNvGraphicFramePr/>
              <a:graphic xmlns:a="http://schemas.openxmlformats.org/drawingml/2006/main">
                <a:graphicData uri="http://schemas.microsoft.com/office/word/2010/wordprocessingShape">
                  <wps:wsp>
                    <wps:cNvSpPr txBox="1"/>
                    <wps:spPr>
                      <a:xfrm>
                        <a:off x="0" y="0"/>
                        <a:ext cx="400050" cy="198755"/>
                      </a:xfrm>
                      <a:prstGeom prst="rect">
                        <a:avLst/>
                      </a:prstGeom>
                      <a:solidFill>
                        <a:srgbClr val="FFFFFF"/>
                      </a:solidFill>
                      <a:ln>
                        <a:noFill/>
                      </a:ln>
                      <a:effectLst/>
                    </wps:spPr>
                    <wps:txbx>
                      <w:txbxContent>
                        <w:p>
                          <w:pPr>
                            <w:pStyle w:val="4"/>
                            <w:rPr>
                              <w:rFonts w:ascii="仿宋" w:hAnsi="仿宋" w:eastAsia="仿宋"/>
                              <w:sz w:val="24"/>
                              <w:szCs w:val="24"/>
                            </w:rPr>
                          </w:pPr>
                          <w:r>
                            <w:rPr>
                              <w:rFonts w:hint="eastAsia" w:ascii="仿宋" w:hAnsi="仿宋" w:eastAsia="仿宋" w:cs="仿宋_GB2312"/>
                              <w:sz w:val="24"/>
                              <w:szCs w:val="24"/>
                            </w:rPr>
                            <w:fldChar w:fldCharType="begin"/>
                          </w:r>
                          <w:r>
                            <w:rPr>
                              <w:rFonts w:hint="eastAsia" w:ascii="仿宋" w:hAnsi="仿宋" w:eastAsia="仿宋" w:cs="仿宋_GB2312"/>
                              <w:sz w:val="24"/>
                              <w:szCs w:val="24"/>
                            </w:rPr>
                            <w:instrText xml:space="preserve"> PAGE </w:instrText>
                          </w:r>
                          <w:r>
                            <w:rPr>
                              <w:rFonts w:hint="eastAsia" w:ascii="仿宋" w:hAnsi="仿宋" w:eastAsia="仿宋" w:cs="仿宋_GB2312"/>
                              <w:sz w:val="24"/>
                              <w:szCs w:val="24"/>
                            </w:rPr>
                            <w:fldChar w:fldCharType="separate"/>
                          </w:r>
                          <w:r>
                            <w:rPr>
                              <w:rFonts w:ascii="仿宋" w:hAnsi="仿宋" w:eastAsia="仿宋" w:cs="仿宋_GB2312"/>
                              <w:sz w:val="24"/>
                              <w:szCs w:val="24"/>
                            </w:rPr>
                            <w:t>- 4 -</w:t>
                          </w:r>
                          <w:r>
                            <w:rPr>
                              <w:rFonts w:hint="eastAsia" w:ascii="仿宋" w:hAnsi="仿宋" w:eastAsia="仿宋" w:cs="仿宋_GB2312"/>
                              <w:sz w:val="24"/>
                              <w:szCs w:val="24"/>
                            </w:rPr>
                            <w:fldChar w:fldCharType="end"/>
                          </w:r>
                        </w:p>
                      </w:txbxContent>
                    </wps:txbx>
                    <wps:bodyPr lIns="635" tIns="635" rIns="635" bIns="635" upright="1"/>
                  </wps:wsp>
                </a:graphicData>
              </a:graphic>
            </wp:anchor>
          </w:drawing>
        </mc:Choice>
        <mc:Fallback>
          <w:pict>
            <v:shape id="_x0000_s1026" o:spid="_x0000_s1026" o:spt="202" type="#_x0000_t202" style="position:absolute;left:0pt;margin-left:187.5pt;margin-top:0.4pt;height:15.65pt;width:31.5pt;mso-position-horizontal-relative:margin;z-index:-251657216;mso-width-relative:page;mso-height-relative:page;" fillcolor="#FFFFFF" filled="t" stroked="f" coordsize="21600,21600" o:gfxdata="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2Xvg1QAAAAcBAAAPAAAAAAAAAAEAIAAAACIA&#10;AABkcnMvZG93bnJldi54bWxQSwECFAAUAAAACACHTuJAvBUL8tMBAACwAwAADgAAAAAAAAABACAA&#10;AAAkAQAAZHJzL2Uyb0RvYy54bWxQSwUGAAAAAAYABgBZAQAAaQUAAAAA&#10;">
              <v:fill on="t" focussize="0,0"/>
              <v:stroke on="f"/>
              <v:imagedata o:title=""/>
              <o:lock v:ext="edit" aspectratio="f"/>
              <v:textbox inset="0.05pt,0.05pt,0.05pt,0.05pt">
                <w:txbxContent>
                  <w:p>
                    <w:pPr>
                      <w:pStyle w:val="4"/>
                      <w:rPr>
                        <w:rFonts w:ascii="仿宋" w:hAnsi="仿宋" w:eastAsia="仿宋"/>
                        <w:sz w:val="24"/>
                        <w:szCs w:val="24"/>
                      </w:rPr>
                    </w:pPr>
                    <w:r>
                      <w:rPr>
                        <w:rFonts w:hint="eastAsia" w:ascii="仿宋" w:hAnsi="仿宋" w:eastAsia="仿宋" w:cs="仿宋_GB2312"/>
                        <w:sz w:val="24"/>
                        <w:szCs w:val="24"/>
                      </w:rPr>
                      <w:fldChar w:fldCharType="begin"/>
                    </w:r>
                    <w:r>
                      <w:rPr>
                        <w:rFonts w:hint="eastAsia" w:ascii="仿宋" w:hAnsi="仿宋" w:eastAsia="仿宋" w:cs="仿宋_GB2312"/>
                        <w:sz w:val="24"/>
                        <w:szCs w:val="24"/>
                      </w:rPr>
                      <w:instrText xml:space="preserve"> PAGE </w:instrText>
                    </w:r>
                    <w:r>
                      <w:rPr>
                        <w:rFonts w:hint="eastAsia" w:ascii="仿宋" w:hAnsi="仿宋" w:eastAsia="仿宋" w:cs="仿宋_GB2312"/>
                        <w:sz w:val="24"/>
                        <w:szCs w:val="24"/>
                      </w:rPr>
                      <w:fldChar w:fldCharType="separate"/>
                    </w:r>
                    <w:r>
                      <w:rPr>
                        <w:rFonts w:ascii="仿宋" w:hAnsi="仿宋" w:eastAsia="仿宋" w:cs="仿宋_GB2312"/>
                        <w:sz w:val="24"/>
                        <w:szCs w:val="24"/>
                      </w:rPr>
                      <w:t>- 4 -</w:t>
                    </w:r>
                    <w:r>
                      <w:rPr>
                        <w:rFonts w:hint="eastAsia" w:ascii="仿宋" w:hAnsi="仿宋" w:eastAsia="仿宋"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ODQ0YmNkYWE0ZjI1NmI4MWM2MGM4YjIzZWUyOTkifQ=="/>
  </w:docVars>
  <w:rsids>
    <w:rsidRoot w:val="00F72B13"/>
    <w:rsid w:val="000F17F6"/>
    <w:rsid w:val="001360F4"/>
    <w:rsid w:val="001F0016"/>
    <w:rsid w:val="002059AF"/>
    <w:rsid w:val="002C40CC"/>
    <w:rsid w:val="00330650"/>
    <w:rsid w:val="00346FE5"/>
    <w:rsid w:val="0036577A"/>
    <w:rsid w:val="0048671F"/>
    <w:rsid w:val="004C07B9"/>
    <w:rsid w:val="005133C3"/>
    <w:rsid w:val="005A4F5B"/>
    <w:rsid w:val="005E760E"/>
    <w:rsid w:val="00637353"/>
    <w:rsid w:val="00640E1B"/>
    <w:rsid w:val="00643FBF"/>
    <w:rsid w:val="006B0C2F"/>
    <w:rsid w:val="006B1D43"/>
    <w:rsid w:val="00736684"/>
    <w:rsid w:val="00796C3E"/>
    <w:rsid w:val="007A4454"/>
    <w:rsid w:val="00823452"/>
    <w:rsid w:val="00844C17"/>
    <w:rsid w:val="008B4B0D"/>
    <w:rsid w:val="00917425"/>
    <w:rsid w:val="0094401E"/>
    <w:rsid w:val="009836DE"/>
    <w:rsid w:val="009A1542"/>
    <w:rsid w:val="00ED7270"/>
    <w:rsid w:val="00F72B13"/>
    <w:rsid w:val="03A07BE3"/>
    <w:rsid w:val="0B166ED4"/>
    <w:rsid w:val="0D1C52DB"/>
    <w:rsid w:val="0FF87D3C"/>
    <w:rsid w:val="16EB0762"/>
    <w:rsid w:val="1DAB29F9"/>
    <w:rsid w:val="25C32FD6"/>
    <w:rsid w:val="26020331"/>
    <w:rsid w:val="26C25145"/>
    <w:rsid w:val="27EE669B"/>
    <w:rsid w:val="28793DA3"/>
    <w:rsid w:val="2A897111"/>
    <w:rsid w:val="2CB97AED"/>
    <w:rsid w:val="2FE94E65"/>
    <w:rsid w:val="31E87A23"/>
    <w:rsid w:val="336346B9"/>
    <w:rsid w:val="339702DF"/>
    <w:rsid w:val="34CF26B1"/>
    <w:rsid w:val="37350FD1"/>
    <w:rsid w:val="3AB120BD"/>
    <w:rsid w:val="3AD3201C"/>
    <w:rsid w:val="3CFB4697"/>
    <w:rsid w:val="3DAA56E0"/>
    <w:rsid w:val="407D1B7C"/>
    <w:rsid w:val="41850CE8"/>
    <w:rsid w:val="419B29A8"/>
    <w:rsid w:val="421A17B2"/>
    <w:rsid w:val="440E14B4"/>
    <w:rsid w:val="45726C57"/>
    <w:rsid w:val="478607E6"/>
    <w:rsid w:val="490966A2"/>
    <w:rsid w:val="50182CF3"/>
    <w:rsid w:val="50D6006A"/>
    <w:rsid w:val="534C02C5"/>
    <w:rsid w:val="54544E81"/>
    <w:rsid w:val="55775FF0"/>
    <w:rsid w:val="5BDE05F0"/>
    <w:rsid w:val="628726BA"/>
    <w:rsid w:val="63412DA9"/>
    <w:rsid w:val="6B3F0FD0"/>
    <w:rsid w:val="6B7D3905"/>
    <w:rsid w:val="6BBE432C"/>
    <w:rsid w:val="6CE10C19"/>
    <w:rsid w:val="6CEB66C0"/>
    <w:rsid w:val="6E723A43"/>
    <w:rsid w:val="6F973260"/>
    <w:rsid w:val="707B4164"/>
    <w:rsid w:val="774F11FF"/>
    <w:rsid w:val="78252301"/>
    <w:rsid w:val="7A5C650C"/>
    <w:rsid w:val="7B474C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pPr>
  </w:style>
  <w:style w:type="paragraph" w:customStyle="1" w:styleId="3">
    <w:name w:val="WW-正文缩进"/>
    <w:basedOn w:val="1"/>
    <w:qFormat/>
    <w:uiPriority w:val="0"/>
    <w:pPr>
      <w:ind w:firstLine="420"/>
    </w:pPr>
    <w:rPr>
      <w:rFonts w:eastAsia="仿宋"/>
      <w:sz w:val="32"/>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next w:val="7"/>
    <w:autoRedefine/>
    <w:qFormat/>
    <w:uiPriority w:val="0"/>
    <w:pPr>
      <w:snapToGrid w:val="0"/>
      <w:jc w:val="left"/>
    </w:pPr>
    <w:rPr>
      <w:sz w:val="18"/>
      <w:szCs w:val="18"/>
    </w:rPr>
  </w:style>
  <w:style w:type="paragraph" w:styleId="7">
    <w:name w:val="Body Text First Indent 2"/>
    <w:basedOn w:val="2"/>
    <w:next w:val="1"/>
    <w:autoRedefine/>
    <w:qFormat/>
    <w:uiPriority w:val="0"/>
    <w:pPr>
      <w:ind w:firstLine="420"/>
    </w:pPr>
  </w:style>
  <w:style w:type="paragraph" w:styleId="8">
    <w:name w:val="Normal (Web)"/>
    <w:basedOn w:val="1"/>
    <w:autoRedefine/>
    <w:qFormat/>
    <w:uiPriority w:val="99"/>
    <w:pPr>
      <w:widowControl/>
      <w:spacing w:before="100" w:after="100"/>
      <w:jc w:val="left"/>
    </w:pPr>
    <w:rPr>
      <w:rFonts w:ascii="Arial Unicode MS" w:hAnsi="Arial Unicode MS" w:eastAsia="Arial Unicode MS" w:cs="Arial Unicode MS"/>
      <w:kern w:val="0"/>
      <w:sz w:val="24"/>
    </w:rPr>
  </w:style>
  <w:style w:type="character" w:customStyle="1" w:styleId="11">
    <w:name w:val="页眉 Char"/>
    <w:basedOn w:val="10"/>
    <w:link w:val="5"/>
    <w:autoRedefine/>
    <w:qFormat/>
    <w:uiPriority w:val="0"/>
    <w:rPr>
      <w:kern w:val="2"/>
      <w:sz w:val="18"/>
      <w:szCs w:val="18"/>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1688</Words>
  <Characters>64</Characters>
  <Lines>1</Lines>
  <Paragraphs>3</Paragraphs>
  <TotalTime>11</TotalTime>
  <ScaleCrop>false</ScaleCrop>
  <LinksUpToDate>false</LinksUpToDate>
  <CharactersWithSpaces>1749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2023-11-13T17:28:00Z</dcterms:created>
  <dc:creator>陈莹</dc:creator>
  <cp:lastModifiedBy>陈莹</cp:lastModifiedBy>
  <cp:lastPrinted>2023-12-28T05:38:24Z</cp:lastPrinted>
  <dcterms:modified xsi:type="dcterms:W3CDTF">2023-12-28T05:38:54Z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8F0A2E1084D44C45936EC30CFE943DF8_13</vt:lpwstr>
  </property>
</Properties>
</file>